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420"/>
        <w:gridCol w:w="1542"/>
        <w:gridCol w:w="4677"/>
      </w:tblGrid>
      <w:tr w:rsidR="00F724ED" w:rsidRPr="00EF478F" w:rsidTr="0052381B">
        <w:trPr>
          <w:trHeight w:val="1849"/>
        </w:trPr>
        <w:tc>
          <w:tcPr>
            <w:tcW w:w="3420" w:type="dxa"/>
            <w:shd w:val="clear" w:color="auto" w:fill="auto"/>
            <w:tcMar>
              <w:left w:w="0" w:type="dxa"/>
              <w:right w:w="0" w:type="dxa"/>
            </w:tcMar>
          </w:tcPr>
          <w:p w:rsidR="002B6281" w:rsidRPr="0021222B" w:rsidRDefault="008A1C41" w:rsidP="0021222B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  <w:u w:val="single"/>
              </w:rPr>
            </w:pPr>
            <w:r w:rsidRPr="000D2283">
              <w:rPr>
                <w:noProof/>
              </w:rPr>
              <w:drawing>
                <wp:inline distT="0" distB="0" distL="0" distR="0">
                  <wp:extent cx="2162810" cy="970280"/>
                  <wp:effectExtent l="0" t="0" r="8890" b="1270"/>
                  <wp:docPr id="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6281" w:rsidRPr="00EF478F" w:rsidRDefault="002B6281" w:rsidP="00EF478F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2B6281" w:rsidRPr="00EF478F" w:rsidRDefault="002B6281" w:rsidP="00EF478F">
            <w:pPr>
              <w:spacing w:after="150" w:line="240" w:lineRule="auto"/>
              <w:rPr>
                <w:noProof/>
              </w:rPr>
            </w:pPr>
          </w:p>
        </w:tc>
      </w:tr>
    </w:tbl>
    <w:p w:rsidR="00631AD6" w:rsidRPr="0052381B" w:rsidRDefault="0052381B" w:rsidP="0052381B">
      <w:pPr>
        <w:spacing w:after="15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2381B">
        <w:rPr>
          <w:rFonts w:ascii="Tahoma" w:hAnsi="Tahoma" w:cs="Tahoma"/>
          <w:b/>
          <w:sz w:val="24"/>
          <w:szCs w:val="24"/>
        </w:rPr>
        <w:t xml:space="preserve">Резултати от проучване </w:t>
      </w:r>
      <w:r w:rsidR="007C78B5">
        <w:rPr>
          <w:rFonts w:ascii="Tahoma" w:hAnsi="Tahoma" w:cs="Tahoma"/>
          <w:b/>
          <w:sz w:val="24"/>
          <w:szCs w:val="24"/>
        </w:rPr>
        <w:br/>
      </w:r>
      <w:r w:rsidRPr="0052381B">
        <w:rPr>
          <w:rFonts w:ascii="Tahoma" w:hAnsi="Tahoma" w:cs="Tahoma"/>
          <w:b/>
          <w:sz w:val="24"/>
          <w:szCs w:val="24"/>
        </w:rPr>
        <w:t xml:space="preserve">по проблемна област „Време за плащане на данъци“ </w:t>
      </w:r>
      <w:r w:rsidR="007C78B5">
        <w:rPr>
          <w:rFonts w:ascii="Tahoma" w:hAnsi="Tahoma" w:cs="Tahoma"/>
          <w:b/>
          <w:sz w:val="24"/>
          <w:szCs w:val="24"/>
        </w:rPr>
        <w:br/>
      </w:r>
      <w:r w:rsidR="007C78B5">
        <w:rPr>
          <w:rFonts w:ascii="Tahoma" w:hAnsi="Tahoma" w:cs="Tahoma"/>
          <w:b/>
          <w:sz w:val="24"/>
          <w:szCs w:val="24"/>
        </w:rPr>
        <w:br/>
      </w:r>
      <w:r w:rsidRPr="0052381B">
        <w:rPr>
          <w:rFonts w:ascii="Tahoma" w:hAnsi="Tahoma" w:cs="Tahoma"/>
          <w:b/>
          <w:sz w:val="24"/>
          <w:szCs w:val="24"/>
        </w:rPr>
        <w:t xml:space="preserve">и предложения за намаляване на административната тежест </w:t>
      </w:r>
      <w:r w:rsidR="007C78B5">
        <w:rPr>
          <w:rFonts w:ascii="Tahoma" w:hAnsi="Tahoma" w:cs="Tahoma"/>
          <w:b/>
          <w:sz w:val="24"/>
          <w:szCs w:val="24"/>
        </w:rPr>
        <w:br/>
      </w:r>
      <w:r w:rsidRPr="0052381B">
        <w:rPr>
          <w:rFonts w:ascii="Tahoma" w:hAnsi="Tahoma" w:cs="Tahoma"/>
          <w:b/>
          <w:sz w:val="24"/>
          <w:szCs w:val="24"/>
        </w:rPr>
        <w:t>в данъчното и осигурителното законодателство</w:t>
      </w:r>
    </w:p>
    <w:p w:rsidR="007C78B5" w:rsidRDefault="007C78B5" w:rsidP="007C78B5">
      <w:pPr>
        <w:jc w:val="center"/>
        <w:rPr>
          <w:i/>
        </w:rPr>
      </w:pPr>
      <w:r w:rsidRPr="007C78B5">
        <w:rPr>
          <w:i/>
        </w:rPr>
        <w:t>Проучването е проведено от Българската стопанска камара – съюз на българския бизнес в периода октомври-ноември 2015 г. сред фирми в цялата страна от всички икономически сектори</w:t>
      </w:r>
    </w:p>
    <w:p w:rsidR="007C78B5" w:rsidRPr="00B95D4E" w:rsidRDefault="007C78B5" w:rsidP="007C78B5">
      <w:pPr>
        <w:jc w:val="center"/>
        <w:rPr>
          <w:i/>
          <w:sz w:val="8"/>
        </w:rPr>
      </w:pPr>
    </w:p>
    <w:p w:rsidR="0052381B" w:rsidRPr="0052381B" w:rsidRDefault="0052381B" w:rsidP="0052381B">
      <w:pPr>
        <w:pStyle w:val="Heading1"/>
      </w:pPr>
      <w:r w:rsidRPr="0052381B">
        <w:t>Проблемни дейности</w:t>
      </w:r>
    </w:p>
    <w:p w:rsidR="0052381B" w:rsidRPr="007C78B5" w:rsidRDefault="0052381B" w:rsidP="0052381B">
      <w:pPr>
        <w:spacing w:after="150" w:line="240" w:lineRule="auto"/>
        <w:jc w:val="both"/>
        <w:rPr>
          <w:rFonts w:ascii="Tahoma" w:hAnsi="Tahoma" w:cs="Tahoma"/>
          <w:sz w:val="16"/>
          <w:szCs w:val="24"/>
        </w:rPr>
      </w:pPr>
    </w:p>
    <w:p w:rsidR="0052381B" w:rsidRPr="0052381B" w:rsidRDefault="0052381B" w:rsidP="007C78B5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Дейностите, които отнемат най-много време и ресурс</w:t>
      </w:r>
      <w:r w:rsidR="007C78B5">
        <w:rPr>
          <w:rFonts w:ascii="Tahoma" w:hAnsi="Tahoma" w:cs="Tahoma"/>
          <w:sz w:val="24"/>
          <w:szCs w:val="24"/>
        </w:rPr>
        <w:t>,</w:t>
      </w:r>
      <w:r w:rsidRPr="0052381B">
        <w:rPr>
          <w:rFonts w:ascii="Tahoma" w:hAnsi="Tahoma" w:cs="Tahoma"/>
          <w:sz w:val="24"/>
          <w:szCs w:val="24"/>
        </w:rPr>
        <w:t xml:space="preserve"> според анкетираните лица са: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Честа промяна в нормативната уредба, свързана с декларации, бланки, формуляри, режими, срокове и др.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52381B">
        <w:rPr>
          <w:rFonts w:ascii="Tahoma" w:hAnsi="Tahoma" w:cs="Tahoma"/>
          <w:sz w:val="24"/>
          <w:szCs w:val="24"/>
        </w:rPr>
        <w:t xml:space="preserve">– </w:t>
      </w:r>
      <w:r w:rsidRPr="0085569D">
        <w:rPr>
          <w:rStyle w:val="Emphasis"/>
          <w:sz w:val="24"/>
          <w:szCs w:val="24"/>
        </w:rPr>
        <w:t>(Приложение 1)</w:t>
      </w:r>
    </w:p>
    <w:p w:rsidR="0052381B" w:rsidRPr="0052381B" w:rsidRDefault="0052381B" w:rsidP="007C78B5">
      <w:pPr>
        <w:pStyle w:val="ListParagraph"/>
        <w:spacing w:after="120" w:line="240" w:lineRule="auto"/>
        <w:ind w:left="567"/>
        <w:contextualSpacing w:val="0"/>
        <w:jc w:val="both"/>
        <w:rPr>
          <w:rStyle w:val="Emphasis"/>
          <w:sz w:val="24"/>
          <w:szCs w:val="24"/>
        </w:rPr>
      </w:pPr>
      <w:r w:rsidRPr="0052381B">
        <w:rPr>
          <w:rStyle w:val="Emphasis"/>
        </w:rPr>
        <w:t xml:space="preserve">Пример: Програмният </w:t>
      </w:r>
      <w:r w:rsidRPr="0052381B">
        <w:rPr>
          <w:rStyle w:val="Emphasis"/>
          <w:sz w:val="24"/>
          <w:szCs w:val="24"/>
        </w:rPr>
        <w:t>продукт за генериране на декларации обр. 1 и обр. 6 има 8 актуализации през 2015 г. Пет от тях са в периода Декември 2014 г. -  Февруари 2015 г.);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Изготвяне на справки и инфор</w:t>
      </w:r>
      <w:bookmarkStart w:id="0" w:name="_GoBack"/>
      <w:bookmarkEnd w:id="0"/>
      <w:r w:rsidRPr="0052381B">
        <w:rPr>
          <w:rFonts w:ascii="Tahoma" w:hAnsi="Tahoma" w:cs="Tahoma"/>
          <w:sz w:val="24"/>
          <w:szCs w:val="24"/>
        </w:rPr>
        <w:t xml:space="preserve">мация във връзка с проверки и ревизионни производства, </w:t>
      </w:r>
      <w:r w:rsidRPr="0052381B">
        <w:rPr>
          <w:rStyle w:val="Emphasis"/>
          <w:sz w:val="24"/>
          <w:szCs w:val="24"/>
        </w:rPr>
        <w:t>в т.ч.: многократно копиране, окомплектоване и представяне на едни и същи документи, доказващи плащане на данъчни и осигурителни задължения за даден период, изисквани от органите в различни по време проверки и ревизии</w:t>
      </w:r>
      <w:r w:rsidRPr="0052381B">
        <w:rPr>
          <w:rFonts w:ascii="Tahoma" w:hAnsi="Tahoma" w:cs="Tahoma"/>
          <w:sz w:val="24"/>
          <w:szCs w:val="24"/>
        </w:rPr>
        <w:t>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Изготвяне и подаване на формуляри за  периодична (краткосрочна) и годишна статистическа отчетност;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Удостоверяване и заверка на осигурителен стаж. Подаване на документи за пенсиониране;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Получаване на Удостоверение за наличие или липса на задължения </w:t>
      </w:r>
      <w:r w:rsidRPr="0052381B">
        <w:rPr>
          <w:rStyle w:val="Emphasis"/>
          <w:sz w:val="24"/>
          <w:szCs w:val="24"/>
        </w:rPr>
        <w:t>(предимно за предприятия в населени места, където няма офис на НАП)</w:t>
      </w:r>
      <w:r w:rsidRPr="0052381B">
        <w:rPr>
          <w:rFonts w:ascii="Tahoma" w:hAnsi="Tahoma" w:cs="Tahoma"/>
          <w:sz w:val="24"/>
          <w:szCs w:val="24"/>
        </w:rPr>
        <w:t>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Изясняване на данъчни въпроси, по които в секция „Въпроси и отговори“ в страницата на НАП има противоречащи си становища на различни дирекции на НАП;</w:t>
      </w:r>
    </w:p>
    <w:p w:rsidR="0052381B" w:rsidRPr="0052381B" w:rsidRDefault="0052381B" w:rsidP="007C78B5">
      <w:pPr>
        <w:pStyle w:val="ListParagraph"/>
        <w:numPr>
          <w:ilvl w:val="0"/>
          <w:numId w:val="3"/>
        </w:numPr>
        <w:spacing w:after="120" w:line="240" w:lineRule="auto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Изясняване на несъответствия в записите/архивите на НАП по подадени от задължените лица декларации за данъчни и осигурителни задължения и по извършените обвързвания и прихващания на суми от служители на НАП;</w:t>
      </w:r>
    </w:p>
    <w:p w:rsidR="008A1E1A" w:rsidRDefault="008A1E1A" w:rsidP="007C78B5">
      <w:pPr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2381B" w:rsidRDefault="0052381B" w:rsidP="0052381B">
      <w:pPr>
        <w:pStyle w:val="Heading1"/>
        <w:jc w:val="both"/>
      </w:pPr>
      <w:r w:rsidRPr="0052381B">
        <w:lastRenderedPageBreak/>
        <w:t>Предложения за намаляване на времето, необходимо за деклариране и заплащане на данъчно-осигурителни задължения</w:t>
      </w:r>
    </w:p>
    <w:p w:rsidR="008A1E1A" w:rsidRPr="008A1E1A" w:rsidRDefault="008A1E1A" w:rsidP="008A1E1A"/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Промени в приложимата нормативна уредба да се извършват не повече от веднъж годишно, преди началото на финансовата година;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Въвеждане на </w:t>
      </w:r>
      <w:r w:rsidR="004034D2">
        <w:rPr>
          <w:rFonts w:ascii="Tahoma" w:hAnsi="Tahoma" w:cs="Tahoma"/>
          <w:sz w:val="24"/>
          <w:szCs w:val="24"/>
        </w:rPr>
        <w:t>задължение</w:t>
      </w:r>
      <w:r w:rsidRPr="0052381B">
        <w:rPr>
          <w:rFonts w:ascii="Tahoma" w:hAnsi="Tahoma" w:cs="Tahoma"/>
          <w:sz w:val="24"/>
          <w:szCs w:val="24"/>
        </w:rPr>
        <w:t xml:space="preserve"> НАП да издава юридически обвърз</w:t>
      </w:r>
      <w:r w:rsidR="00FB1728">
        <w:rPr>
          <w:rFonts w:ascii="Tahoma" w:hAnsi="Tahoma" w:cs="Tahoma"/>
          <w:sz w:val="24"/>
          <w:szCs w:val="24"/>
        </w:rPr>
        <w:t>в</w:t>
      </w:r>
      <w:r w:rsidRPr="0052381B">
        <w:rPr>
          <w:rFonts w:ascii="Tahoma" w:hAnsi="Tahoma" w:cs="Tahoma"/>
          <w:sz w:val="24"/>
          <w:szCs w:val="24"/>
        </w:rPr>
        <w:t>а</w:t>
      </w:r>
      <w:r w:rsidR="00FB1728">
        <w:rPr>
          <w:rFonts w:ascii="Tahoma" w:hAnsi="Tahoma" w:cs="Tahoma"/>
          <w:sz w:val="24"/>
          <w:szCs w:val="24"/>
        </w:rPr>
        <w:t>щ</w:t>
      </w:r>
      <w:r w:rsidRPr="0052381B">
        <w:rPr>
          <w:rFonts w:ascii="Tahoma" w:hAnsi="Tahoma" w:cs="Tahoma"/>
          <w:sz w:val="24"/>
          <w:szCs w:val="24"/>
        </w:rPr>
        <w:t>о становище по искане от страна на ДЗЛ. Това би довело до прекратяване на практиката НАП да издава различни становища по идентични казуси. Република България е единствената страна в ЕС, в която все още този въпрос не е уреден законодателно;</w:t>
      </w:r>
    </w:p>
    <w:p w:rsidR="0052381B" w:rsidRPr="0052381B" w:rsidRDefault="007344B5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Създаване на възможност </w:t>
      </w:r>
      <w:r w:rsidR="0052381B" w:rsidRPr="0052381B">
        <w:rPr>
          <w:rFonts w:ascii="Tahoma" w:hAnsi="Tahoma" w:cs="Tahoma"/>
          <w:sz w:val="24"/>
          <w:szCs w:val="24"/>
        </w:rPr>
        <w:t xml:space="preserve">Удостоверението за наличие или липса на задължение по чл. 87, ал. 6 от ДОПК </w:t>
      </w:r>
      <w:r>
        <w:rPr>
          <w:rFonts w:ascii="Tahoma" w:hAnsi="Tahoma" w:cs="Tahoma"/>
          <w:sz w:val="24"/>
          <w:szCs w:val="24"/>
        </w:rPr>
        <w:t xml:space="preserve">да </w:t>
      </w:r>
      <w:r w:rsidR="0052381B" w:rsidRPr="0052381B">
        <w:rPr>
          <w:rFonts w:ascii="Tahoma" w:hAnsi="Tahoma" w:cs="Tahoma"/>
          <w:sz w:val="24"/>
          <w:szCs w:val="24"/>
        </w:rPr>
        <w:t xml:space="preserve">се получава по електронен път, подписано с електронен подпис от служител на НАП </w:t>
      </w:r>
      <w:r w:rsidR="0052381B" w:rsidRPr="007344B5">
        <w:rPr>
          <w:rStyle w:val="Emphasis"/>
          <w:sz w:val="24"/>
          <w:szCs w:val="24"/>
        </w:rPr>
        <w:t>(аналог – електронно</w:t>
      </w:r>
      <w:r>
        <w:rPr>
          <w:rStyle w:val="Emphasis"/>
          <w:sz w:val="24"/>
          <w:szCs w:val="24"/>
        </w:rPr>
        <w:t>то</w:t>
      </w:r>
      <w:r w:rsidR="0052381B" w:rsidRPr="007344B5">
        <w:rPr>
          <w:rStyle w:val="Emphasis"/>
          <w:sz w:val="24"/>
          <w:szCs w:val="24"/>
        </w:rPr>
        <w:t xml:space="preserve"> свидетелство за съдимост)</w:t>
      </w:r>
      <w:r w:rsidR="0052381B" w:rsidRPr="0052381B">
        <w:rPr>
          <w:rFonts w:ascii="Tahoma" w:hAnsi="Tahoma" w:cs="Tahoma"/>
          <w:sz w:val="24"/>
          <w:szCs w:val="24"/>
        </w:rPr>
        <w:t>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Електронно подаване на документи в НОИ за изчисляване и изплащане на парични обезщетения за временна неработоспособност;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Въвеждане на задължителна оценка на въздействието на промените в нормативната уредба с фокус върху </w:t>
      </w:r>
      <w:r w:rsidR="00E12E11">
        <w:rPr>
          <w:rFonts w:ascii="Tahoma" w:hAnsi="Tahoma" w:cs="Tahoma"/>
          <w:sz w:val="24"/>
          <w:szCs w:val="24"/>
        </w:rPr>
        <w:t>малките предприятия</w:t>
      </w:r>
      <w:r w:rsidRPr="0052381B">
        <w:rPr>
          <w:rFonts w:ascii="Tahoma" w:hAnsi="Tahoma" w:cs="Tahoma"/>
          <w:sz w:val="24"/>
          <w:szCs w:val="24"/>
        </w:rPr>
        <w:t>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Отпадане на задължението за изготвяне на дневници за покупки и продажби </w:t>
      </w:r>
      <w:r w:rsidR="00627F2F">
        <w:rPr>
          <w:rFonts w:ascii="Tahoma" w:hAnsi="Tahoma" w:cs="Tahoma"/>
          <w:sz w:val="24"/>
          <w:szCs w:val="24"/>
        </w:rPr>
        <w:t>по ЗДДС – практиката е зас</w:t>
      </w:r>
      <w:r w:rsidR="00453F6F">
        <w:rPr>
          <w:rFonts w:ascii="Tahoma" w:hAnsi="Tahoma" w:cs="Tahoma"/>
          <w:sz w:val="24"/>
          <w:szCs w:val="24"/>
        </w:rPr>
        <w:t>тъпена</w:t>
      </w:r>
      <w:r w:rsidR="00627F2F">
        <w:rPr>
          <w:rFonts w:ascii="Tahoma" w:hAnsi="Tahoma" w:cs="Tahoma"/>
          <w:sz w:val="24"/>
          <w:szCs w:val="24"/>
        </w:rPr>
        <w:t xml:space="preserve"> </w:t>
      </w:r>
      <w:r w:rsidRPr="0052381B">
        <w:rPr>
          <w:rFonts w:ascii="Tahoma" w:hAnsi="Tahoma" w:cs="Tahoma"/>
          <w:sz w:val="24"/>
          <w:szCs w:val="24"/>
        </w:rPr>
        <w:t>в повечето страни-членки на ЕС</w:t>
      </w:r>
      <w:r w:rsidR="00627F2F">
        <w:rPr>
          <w:rFonts w:ascii="Tahoma" w:hAnsi="Tahoma" w:cs="Tahoma"/>
          <w:sz w:val="24"/>
          <w:szCs w:val="24"/>
        </w:rPr>
        <w:t>.</w:t>
      </w:r>
      <w:r w:rsidRPr="0052381B">
        <w:rPr>
          <w:rFonts w:ascii="Tahoma" w:hAnsi="Tahoma" w:cs="Tahoma"/>
          <w:sz w:val="24"/>
          <w:szCs w:val="24"/>
        </w:rPr>
        <w:t xml:space="preserve"> </w:t>
      </w:r>
      <w:r w:rsidR="00627F2F">
        <w:rPr>
          <w:rFonts w:ascii="Tahoma" w:hAnsi="Tahoma" w:cs="Tahoma"/>
          <w:sz w:val="24"/>
          <w:szCs w:val="24"/>
        </w:rPr>
        <w:t>П</w:t>
      </w:r>
      <w:r w:rsidRPr="0052381B">
        <w:rPr>
          <w:rFonts w:ascii="Tahoma" w:hAnsi="Tahoma" w:cs="Tahoma"/>
          <w:sz w:val="24"/>
          <w:szCs w:val="24"/>
        </w:rPr>
        <w:t xml:space="preserve">одаване на тримесечни </w:t>
      </w:r>
      <w:r w:rsidR="00627F2F">
        <w:rPr>
          <w:rFonts w:ascii="Tahoma" w:hAnsi="Tahoma" w:cs="Tahoma"/>
          <w:sz w:val="24"/>
          <w:szCs w:val="24"/>
        </w:rPr>
        <w:t>д</w:t>
      </w:r>
      <w:r w:rsidRPr="0052381B">
        <w:rPr>
          <w:rFonts w:ascii="Tahoma" w:hAnsi="Tahoma" w:cs="Tahoma"/>
          <w:sz w:val="24"/>
          <w:szCs w:val="24"/>
        </w:rPr>
        <w:t>екларации по ЗДДС;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Отпадане на необходимостта от изготвяне на удостоверения за пенсиониране, за периоди след 2000 г. </w:t>
      </w:r>
      <w:r w:rsidRPr="00453F6F">
        <w:rPr>
          <w:rStyle w:val="Emphasis"/>
          <w:sz w:val="24"/>
          <w:szCs w:val="24"/>
        </w:rPr>
        <w:t>(дублиране на данни с декларация обр. 1)</w:t>
      </w:r>
      <w:r w:rsidRPr="0052381B">
        <w:rPr>
          <w:rFonts w:ascii="Tahoma" w:hAnsi="Tahoma" w:cs="Tahoma"/>
          <w:sz w:val="24"/>
          <w:szCs w:val="24"/>
        </w:rPr>
        <w:t>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Във всички общински центрове да се открият гишета на НАП за плащане на данъчни и осигурителни задължения (в които извършването на плащане от страна на ФЛ е безплатно, а от ЮЛ – при минимални такси за превод);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Всички актуални бланки на декларации, заявления и други документи, необходими за извършване на процедури като регистрации и деклариране, да бъдат качвани своевременно на сайта на НАП или съответната държавна институция;</w:t>
      </w:r>
    </w:p>
    <w:p w:rsidR="0052381B" w:rsidRPr="0052381B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 xml:space="preserve">Създаване на възможност за интегриране на информация и плащане на задължения към бюджета по електронен път, чрез каналите за електронно банкиране предоставяни от търговските банки </w:t>
      </w:r>
      <w:r w:rsidRPr="00313B1A">
        <w:rPr>
          <w:rStyle w:val="Emphasis"/>
          <w:sz w:val="24"/>
          <w:szCs w:val="24"/>
        </w:rPr>
        <w:t>(понастоящем услугата е достъпна единствено чрез ePay.bg)</w:t>
      </w:r>
      <w:r w:rsidRPr="0052381B">
        <w:rPr>
          <w:rFonts w:ascii="Tahoma" w:hAnsi="Tahoma" w:cs="Tahoma"/>
          <w:sz w:val="24"/>
          <w:szCs w:val="24"/>
        </w:rPr>
        <w:t>;</w:t>
      </w:r>
    </w:p>
    <w:p w:rsidR="009E462A" w:rsidRDefault="0052381B" w:rsidP="007C78B5">
      <w:pPr>
        <w:pStyle w:val="ListParagraph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t>Да се осигури по-добра раб</w:t>
      </w:r>
      <w:r w:rsidR="00F520FB">
        <w:rPr>
          <w:rFonts w:ascii="Tahoma" w:hAnsi="Tahoma" w:cs="Tahoma"/>
          <w:sz w:val="24"/>
          <w:szCs w:val="24"/>
        </w:rPr>
        <w:t>ота на сайта и сървърите на НАП.</w:t>
      </w:r>
    </w:p>
    <w:p w:rsidR="0085569D" w:rsidRDefault="0085569D" w:rsidP="0085569D">
      <w:pPr>
        <w:spacing w:after="150" w:line="240" w:lineRule="auto"/>
        <w:jc w:val="both"/>
        <w:rPr>
          <w:rFonts w:ascii="Tahoma" w:hAnsi="Tahoma" w:cs="Tahoma"/>
          <w:sz w:val="24"/>
          <w:szCs w:val="24"/>
        </w:rPr>
      </w:pPr>
    </w:p>
    <w:p w:rsidR="0085569D" w:rsidRDefault="0085569D" w:rsidP="0085569D">
      <w:pPr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БСК, Ноември 2015 г.</w:t>
      </w:r>
    </w:p>
    <w:p w:rsidR="0085569D" w:rsidRPr="0085569D" w:rsidRDefault="0085569D" w:rsidP="0085569D">
      <w:pPr>
        <w:spacing w:after="15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гр. София</w:t>
      </w:r>
    </w:p>
    <w:p w:rsidR="009E462A" w:rsidRPr="0052381B" w:rsidRDefault="009E462A" w:rsidP="0052381B">
      <w:pPr>
        <w:spacing w:after="15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110A28" w:rsidRPr="0052381B" w:rsidRDefault="00110A28" w:rsidP="00EE168A">
      <w:pPr>
        <w:spacing w:after="150" w:line="240" w:lineRule="auto"/>
        <w:rPr>
          <w:rFonts w:ascii="Tahoma" w:hAnsi="Tahoma" w:cs="Tahoma"/>
          <w:sz w:val="24"/>
          <w:szCs w:val="24"/>
        </w:rPr>
      </w:pPr>
      <w:r w:rsidRPr="0052381B">
        <w:rPr>
          <w:rFonts w:ascii="Tahoma" w:hAnsi="Tahoma" w:cs="Tahoma"/>
          <w:sz w:val="24"/>
          <w:szCs w:val="24"/>
        </w:rPr>
        <w:br w:type="page"/>
      </w:r>
    </w:p>
    <w:p w:rsidR="0052381B" w:rsidRDefault="0052381B" w:rsidP="009E462A">
      <w:pPr>
        <w:spacing w:line="240" w:lineRule="auto"/>
        <w:jc w:val="both"/>
        <w:rPr>
          <w:rFonts w:ascii="Tahoma" w:hAnsi="Tahoma" w:cs="Tahoma"/>
          <w:sz w:val="20"/>
          <w:szCs w:val="20"/>
        </w:rPr>
        <w:sectPr w:rsidR="0052381B" w:rsidSect="007C78B5">
          <w:footerReference w:type="default" r:id="rId8"/>
          <w:footerReference w:type="first" r:id="rId9"/>
          <w:pgSz w:w="12240" w:h="15840"/>
          <w:pgMar w:top="679" w:right="1041" w:bottom="993" w:left="1276" w:header="284" w:footer="333" w:gutter="0"/>
          <w:cols w:space="708"/>
          <w:titlePg/>
          <w:docGrid w:linePitch="360"/>
        </w:sectPr>
      </w:pPr>
    </w:p>
    <w:p w:rsidR="0052381B" w:rsidRPr="00693162" w:rsidRDefault="0052381B" w:rsidP="0052381B">
      <w:pPr>
        <w:jc w:val="right"/>
        <w:rPr>
          <w:i/>
        </w:rPr>
      </w:pPr>
      <w:r w:rsidRPr="00693162">
        <w:rPr>
          <w:i/>
        </w:rPr>
        <w:lastRenderedPageBreak/>
        <w:t>Приложение 1</w:t>
      </w:r>
    </w:p>
    <w:p w:rsidR="0052381B" w:rsidRDefault="0052381B" w:rsidP="0052381B">
      <w:pPr>
        <w:jc w:val="both"/>
      </w:pPr>
      <w:r>
        <w:rPr>
          <w:noProof/>
        </w:rPr>
        <w:drawing>
          <wp:inline distT="0" distB="0" distL="0" distR="0" wp14:anchorId="5F653C71" wp14:editId="49CCA274">
            <wp:extent cx="9467850" cy="436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7562" cy="43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9E7" w:rsidRPr="009E462A" w:rsidRDefault="0052381B" w:rsidP="0052381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i/>
        </w:rPr>
        <w:t xml:space="preserve">Източник: </w:t>
      </w:r>
      <w:hyperlink r:id="rId11" w:history="1">
        <w:r w:rsidRPr="008F734C">
          <w:rPr>
            <w:rStyle w:val="Hyperlink"/>
            <w:i/>
          </w:rPr>
          <w:t>http://daily.bia-bg.com/LegislationSpam.html</w:t>
        </w:r>
      </w:hyperlink>
    </w:p>
    <w:sectPr w:rsidR="007019E7" w:rsidRPr="009E462A" w:rsidSect="0052381B">
      <w:pgSz w:w="15840" w:h="12240" w:orient="landscape"/>
      <w:pgMar w:top="1418" w:right="680" w:bottom="1327" w:left="992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C7" w:rsidRDefault="00FB0AC7" w:rsidP="009E462A">
      <w:pPr>
        <w:spacing w:after="0" w:line="240" w:lineRule="auto"/>
      </w:pPr>
      <w:r>
        <w:separator/>
      </w:r>
    </w:p>
  </w:endnote>
  <w:endnote w:type="continuationSeparator" w:id="0">
    <w:p w:rsidR="00FB0AC7" w:rsidRDefault="00FB0AC7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8A1C41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987F7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664878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664878">
      <w:rPr>
        <w:rFonts w:ascii="Tahoma" w:hAnsi="Tahoma" w:cs="Tahoma"/>
        <w:b/>
        <w:bCs/>
        <w:noProof/>
        <w:sz w:val="16"/>
        <w:szCs w:val="18"/>
      </w:rPr>
      <w:t>3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C7" w:rsidRDefault="00FB0AC7" w:rsidP="009E462A">
      <w:pPr>
        <w:spacing w:after="0" w:line="240" w:lineRule="auto"/>
      </w:pPr>
      <w:r>
        <w:separator/>
      </w:r>
    </w:p>
  </w:footnote>
  <w:footnote w:type="continuationSeparator" w:id="0">
    <w:p w:rsidR="00FB0AC7" w:rsidRDefault="00FB0AC7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7F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E4227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D1D42CA"/>
    <w:multiLevelType w:val="multilevel"/>
    <w:tmpl w:val="BB263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1822A0"/>
    <w:multiLevelType w:val="hybridMultilevel"/>
    <w:tmpl w:val="18F85F5E"/>
    <w:lvl w:ilvl="0" w:tplc="BEC052C8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1"/>
    <w:rsid w:val="00010700"/>
    <w:rsid w:val="00061F31"/>
    <w:rsid w:val="000C3F97"/>
    <w:rsid w:val="00107288"/>
    <w:rsid w:val="00110A28"/>
    <w:rsid w:val="0016783C"/>
    <w:rsid w:val="001C3861"/>
    <w:rsid w:val="0021222B"/>
    <w:rsid w:val="002201A1"/>
    <w:rsid w:val="002B6281"/>
    <w:rsid w:val="00313B1A"/>
    <w:rsid w:val="00326167"/>
    <w:rsid w:val="0033503A"/>
    <w:rsid w:val="00373E63"/>
    <w:rsid w:val="003B02BD"/>
    <w:rsid w:val="004034D2"/>
    <w:rsid w:val="00407509"/>
    <w:rsid w:val="00444348"/>
    <w:rsid w:val="00453F6F"/>
    <w:rsid w:val="004A6D80"/>
    <w:rsid w:val="0052381B"/>
    <w:rsid w:val="005C014C"/>
    <w:rsid w:val="006021DE"/>
    <w:rsid w:val="00605DE8"/>
    <w:rsid w:val="00615D1A"/>
    <w:rsid w:val="006162A6"/>
    <w:rsid w:val="00620448"/>
    <w:rsid w:val="00627F2F"/>
    <w:rsid w:val="00631AD6"/>
    <w:rsid w:val="00664878"/>
    <w:rsid w:val="006A53F4"/>
    <w:rsid w:val="006C6404"/>
    <w:rsid w:val="006E0B8D"/>
    <w:rsid w:val="007019E7"/>
    <w:rsid w:val="007344B5"/>
    <w:rsid w:val="007A0AF5"/>
    <w:rsid w:val="007C78B5"/>
    <w:rsid w:val="0085569D"/>
    <w:rsid w:val="008A1C41"/>
    <w:rsid w:val="008A1E1A"/>
    <w:rsid w:val="00974B8D"/>
    <w:rsid w:val="00985C62"/>
    <w:rsid w:val="009912C7"/>
    <w:rsid w:val="0099373C"/>
    <w:rsid w:val="009E462A"/>
    <w:rsid w:val="009E60A9"/>
    <w:rsid w:val="00A04146"/>
    <w:rsid w:val="00A11BDC"/>
    <w:rsid w:val="00B60B1E"/>
    <w:rsid w:val="00B95D4E"/>
    <w:rsid w:val="00BC5A45"/>
    <w:rsid w:val="00BD6195"/>
    <w:rsid w:val="00C02F97"/>
    <w:rsid w:val="00D171E9"/>
    <w:rsid w:val="00DA0F87"/>
    <w:rsid w:val="00E12E11"/>
    <w:rsid w:val="00E35EFC"/>
    <w:rsid w:val="00E551CB"/>
    <w:rsid w:val="00E7523A"/>
    <w:rsid w:val="00E841FA"/>
    <w:rsid w:val="00EE168A"/>
    <w:rsid w:val="00EF478F"/>
    <w:rsid w:val="00F520FB"/>
    <w:rsid w:val="00F55120"/>
    <w:rsid w:val="00F724ED"/>
    <w:rsid w:val="00FA0BD1"/>
    <w:rsid w:val="00FB0AC7"/>
    <w:rsid w:val="00FB1728"/>
    <w:rsid w:val="00FD160A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C7A62-FF6D-4AE0-B7BC-8B0AD28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8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38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38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character" w:styleId="Emphasis">
    <w:name w:val="Emphasis"/>
    <w:basedOn w:val="DefaultParagraphFont"/>
    <w:uiPriority w:val="20"/>
    <w:qFormat/>
    <w:rsid w:val="0052381B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22B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22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ily.bia-bg.com/LegislationSpam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donchev\Desktop\BIA_BG-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BIA_BG-blanka.dot</Template>
  <TotalTime>29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Popdonchev</dc:creator>
  <cp:keywords/>
  <dc:description/>
  <cp:lastModifiedBy>Ани Алашка</cp:lastModifiedBy>
  <cp:revision>4</cp:revision>
  <cp:lastPrinted>2015-11-18T17:21:00Z</cp:lastPrinted>
  <dcterms:created xsi:type="dcterms:W3CDTF">2015-11-18T17:21:00Z</dcterms:created>
  <dcterms:modified xsi:type="dcterms:W3CDTF">2015-11-18T18:06:00Z</dcterms:modified>
</cp:coreProperties>
</file>